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Черкаський державний технологічний університет</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Факультет інформаційних технологій і систем</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Кафедра інформаційної безпеки та комп’ютерної інженерії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СИЛАБУС</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навчальної дисципліни</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ТЕХНІЧНА РОЗВІДКА ТА ЗАСОБИ ПРОТИДІЇ</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781.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1"/>
        <w:gridCol w:w="850"/>
        <w:gridCol w:w="5670"/>
        <w:tblGridChange w:id="0">
          <w:tblGrid>
            <w:gridCol w:w="3261"/>
            <w:gridCol w:w="850"/>
            <w:gridCol w:w="5670"/>
          </w:tblGrid>
        </w:tblGridChange>
      </w:tblGrid>
      <w:tr>
        <w:trPr>
          <w:cantSplit w:val="0"/>
          <w:trHeight w:val="127" w:hRule="atLeast"/>
          <w:tblHeader w:val="0"/>
        </w:trPr>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Освітній рівень </w:t>
            </w:r>
          </w:p>
        </w:tc>
        <w:tc>
          <w:tcPr>
            <w:gridSpan w:val="2"/>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Перший (бакалаврський) </w:t>
            </w:r>
          </w:p>
        </w:tc>
      </w:tr>
      <w:tr>
        <w:trPr>
          <w:cantSplit w:val="0"/>
          <w:trHeight w:val="127" w:hRule="atLeast"/>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Статус дисципліни </w:t>
            </w:r>
          </w:p>
        </w:tc>
        <w:tc>
          <w:tcPr>
            <w:gridSpan w:val="2"/>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Вибіркова циклу професійної підготовки </w:t>
            </w:r>
          </w:p>
        </w:tc>
      </w:tr>
      <w:tr>
        <w:trPr>
          <w:cantSplit w:val="0"/>
          <w:trHeight w:val="127" w:hRule="atLeast"/>
          <w:tblHeader w:val="0"/>
        </w:trPr>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Галузь знань</w:t>
            </w:r>
          </w:p>
        </w:tc>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Інформаційні технології</w:t>
            </w:r>
          </w:p>
        </w:tc>
      </w:tr>
      <w:tr>
        <w:trPr>
          <w:cantSplit w:val="0"/>
          <w:trHeight w:val="127" w:hRule="atLeast"/>
          <w:tblHeader w:val="0"/>
        </w:trPr>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Обсяг дисципліни </w:t>
            </w:r>
          </w:p>
        </w:tc>
        <w:tc>
          <w:tcPr>
            <w:gridSpan w:val="2"/>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кредити ECTS (120 годин) </w:t>
            </w:r>
          </w:p>
        </w:tc>
      </w:tr>
      <w:tr>
        <w:trPr>
          <w:cantSplit w:val="0"/>
          <w:trHeight w:val="127" w:hRule="atLeast"/>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Види аудиторних занять </w:t>
            </w:r>
          </w:p>
        </w:tc>
        <w:tc>
          <w:tcPr>
            <w:gridSpan w:val="2"/>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Лекції, лабораторні заняття </w:t>
            </w:r>
          </w:p>
        </w:tc>
      </w:tr>
      <w:tr>
        <w:trPr>
          <w:cantSplit w:val="0"/>
          <w:trHeight w:val="127" w:hRule="atLeast"/>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Індивідуальні завдання </w:t>
            </w:r>
          </w:p>
        </w:tc>
        <w:tc>
          <w:tcPr>
            <w:gridSpan w:val="2"/>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r>
      <w:tr>
        <w:trPr>
          <w:cantSplit w:val="0"/>
          <w:trHeight w:val="127" w:hRule="atLeast"/>
          <w:tblHeader w:val="0"/>
        </w:trPr>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Форма семестрового контролю </w:t>
            </w:r>
          </w:p>
        </w:tc>
        <w:tc>
          <w:tcPr>
            <w:gridSpan w:val="2"/>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Залік</w:t>
            </w:r>
          </w:p>
        </w:tc>
      </w:tr>
      <w:tr>
        <w:trPr>
          <w:cantSplit w:val="0"/>
          <w:trHeight w:val="127" w:hRule="atLeast"/>
          <w:tblHeader w:val="0"/>
        </w:trPr>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Мова викладання </w:t>
            </w:r>
          </w:p>
        </w:tc>
        <w:tc>
          <w:tcPr>
            <w:gridSpan w:val="2"/>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Українська </w:t>
            </w:r>
          </w:p>
        </w:tc>
      </w:tr>
    </w:tbl>
    <w:p w:rsidR="00000000" w:rsidDel="00000000" w:rsidP="00000000" w:rsidRDefault="00000000" w:rsidRPr="00000000" w14:paraId="00000022">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2"/>
        <w:tblW w:w="9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6"/>
        <w:gridCol w:w="6775"/>
        <w:tblGridChange w:id="0">
          <w:tblGrid>
            <w:gridCol w:w="3006"/>
            <w:gridCol w:w="6775"/>
          </w:tblGrid>
        </w:tblGridChange>
      </w:tblGrid>
      <w:tr>
        <w:trPr>
          <w:cantSplit w:val="0"/>
          <w:trHeight w:val="127" w:hRule="atLeast"/>
          <w:tblHeader w:val="0"/>
        </w:trPr>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Предмет дисципліни </w:t>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технічні засоби, технології і методи</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захисту інформації</w:t>
            </w:r>
          </w:p>
        </w:tc>
      </w:tr>
      <w:tr>
        <w:trPr>
          <w:cantSplit w:val="0"/>
          <w:trHeight w:val="127" w:hRule="atLeast"/>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Мета викладання дисципліни </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отримання здобувачами необхідних знань щодо технічних каналів витоку інформації, шляхів деструктивного впливу на інформацію та засоби її обробки, застосування заходів та засобів, спрямованих на технічний захист інформації  на об’єктах інформаційної діяльності, алгоритм</w:t>
            </w:r>
            <w:r w:rsidDel="00000000" w:rsidR="00000000" w:rsidRPr="00000000">
              <w:rPr>
                <w:rFonts w:ascii="Times New Roman CYR" w:cs="Times New Roman CYR" w:eastAsia="Times New Roman CYR" w:hAnsi="Times New Roman CYR"/>
                <w:b w:val="0"/>
                <w:bCs w:val="0"/>
                <w:i w:val="0"/>
                <w:iCs w:val="0"/>
                <w:smallCaps w:val="0"/>
                <w:strike w:val="0"/>
                <w:color w:val="000000"/>
                <w:sz w:val="28"/>
                <w:szCs w:val="28"/>
                <w:u w:val="none"/>
                <w:shd w:fill="auto" w:val="clear"/>
                <w:vertAlign w:val="baseline"/>
                <w:rtl w:val="0"/>
              </w:rPr>
              <w:t xml:space="preserve">і</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розробки та реалізації заходів захисту, у тому числі і заходів захисту відомостей з обмеженим доступом</w:t>
            </w:r>
          </w:p>
        </w:tc>
      </w:tr>
      <w:tr>
        <w:trPr>
          <w:cantSplit w:val="0"/>
          <w:trHeight w:val="127" w:hRule="atLeast"/>
          <w:tblHeader w:val="0"/>
        </w:trPr>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Результати навчання </w:t>
            </w:r>
          </w:p>
        </w:tc>
        <w:tc>
          <w:tcPr/>
          <w:p w:rsidR="00000000" w:rsidDel="00000000" w:rsidP="00000000" w:rsidRDefault="00000000" w:rsidRPr="00000000" w14:paraId="00000028">
            <w:pPr>
              <w:spacing w:after="0" w:line="240" w:lineRule="auto"/>
              <w:ind w:firstLine="288"/>
              <w:jc w:val="both"/>
              <w:rPr>
                <w:sz w:val="28"/>
                <w:szCs w:val="28"/>
              </w:rPr>
            </w:pPr>
            <w:r w:rsidDel="00000000" w:rsidR="00000000" w:rsidRPr="00000000">
              <w:rPr>
                <w:sz w:val="28"/>
                <w:szCs w:val="28"/>
                <w:rtl w:val="0"/>
              </w:rPr>
              <w:t xml:space="preserve">1. Знати основи організації технічного захисту інформації.</w:t>
            </w:r>
          </w:p>
          <w:p w:rsidR="00000000" w:rsidDel="00000000" w:rsidP="00000000" w:rsidRDefault="00000000" w:rsidRPr="00000000" w14:paraId="00000029">
            <w:pPr>
              <w:spacing w:after="0" w:line="240" w:lineRule="auto"/>
              <w:ind w:firstLine="288"/>
              <w:jc w:val="both"/>
              <w:rPr>
                <w:sz w:val="28"/>
                <w:szCs w:val="28"/>
              </w:rPr>
            </w:pPr>
            <w:r w:rsidDel="00000000" w:rsidR="00000000" w:rsidRPr="00000000">
              <w:rPr>
                <w:sz w:val="28"/>
                <w:szCs w:val="28"/>
                <w:rtl w:val="0"/>
              </w:rPr>
              <w:t xml:space="preserve">2. Знати порядок розробки та реалізації заходів технічного захисту.</w:t>
            </w:r>
          </w:p>
          <w:p w:rsidR="00000000" w:rsidDel="00000000" w:rsidP="00000000" w:rsidRDefault="00000000" w:rsidRPr="00000000" w14:paraId="0000002A">
            <w:pPr>
              <w:spacing w:after="0" w:line="240" w:lineRule="auto"/>
              <w:ind w:firstLine="288"/>
              <w:jc w:val="both"/>
              <w:rPr>
                <w:sz w:val="28"/>
                <w:szCs w:val="28"/>
              </w:rPr>
            </w:pPr>
            <w:r w:rsidDel="00000000" w:rsidR="00000000" w:rsidRPr="00000000">
              <w:rPr>
                <w:sz w:val="28"/>
                <w:szCs w:val="28"/>
                <w:rtl w:val="0"/>
              </w:rPr>
              <w:t xml:space="preserve">3. Знати принципи дії засобів захисту, їх основні характеристики та можливості.</w:t>
            </w:r>
          </w:p>
          <w:p w:rsidR="00000000" w:rsidDel="00000000" w:rsidP="00000000" w:rsidRDefault="00000000" w:rsidRPr="00000000" w14:paraId="0000002B">
            <w:pPr>
              <w:spacing w:after="0" w:line="240" w:lineRule="auto"/>
              <w:ind w:firstLine="288"/>
              <w:jc w:val="both"/>
              <w:rPr>
                <w:sz w:val="28"/>
                <w:szCs w:val="28"/>
              </w:rPr>
            </w:pPr>
            <w:r w:rsidDel="00000000" w:rsidR="00000000" w:rsidRPr="00000000">
              <w:rPr>
                <w:sz w:val="28"/>
                <w:szCs w:val="28"/>
                <w:rtl w:val="0"/>
              </w:rPr>
              <w:t xml:space="preserve">4. Вміти застосовувати типові заходи технічного захисту.</w:t>
            </w:r>
          </w:p>
        </w:tc>
      </w:tr>
      <w:tr>
        <w:trPr>
          <w:cantSplit w:val="0"/>
          <w:trHeight w:val="127" w:hRule="atLeast"/>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Тематичний план дисципліни </w:t>
            </w:r>
          </w:p>
        </w:tc>
        <w:tc>
          <w:tcPr/>
          <w:p w:rsidR="00000000" w:rsidDel="00000000" w:rsidP="00000000" w:rsidRDefault="00000000" w:rsidRPr="00000000" w14:paraId="0000002D">
            <w:pPr>
              <w:tabs>
                <w:tab w:val="left" w:leader="none" w:pos="900"/>
              </w:tabs>
              <w:spacing w:after="0" w:line="240" w:lineRule="auto"/>
              <w:ind w:firstLine="318"/>
              <w:jc w:val="both"/>
              <w:rPr>
                <w:sz w:val="28"/>
                <w:szCs w:val="28"/>
              </w:rPr>
            </w:pPr>
            <w:r w:rsidDel="00000000" w:rsidR="00000000" w:rsidRPr="00000000">
              <w:rPr>
                <w:sz w:val="28"/>
                <w:szCs w:val="28"/>
                <w:rtl w:val="0"/>
              </w:rPr>
              <w:t xml:space="preserve">1.  Види, джерела та носії інформації, що підлягає захисту </w:t>
            </w:r>
          </w:p>
          <w:p w:rsidR="00000000" w:rsidDel="00000000" w:rsidP="00000000" w:rsidRDefault="00000000" w:rsidRPr="00000000" w14:paraId="0000002E">
            <w:pPr>
              <w:tabs>
                <w:tab w:val="left" w:leader="none" w:pos="900"/>
              </w:tabs>
              <w:spacing w:after="0" w:line="240" w:lineRule="auto"/>
              <w:ind w:firstLine="318"/>
              <w:jc w:val="both"/>
              <w:rPr>
                <w:sz w:val="28"/>
                <w:szCs w:val="28"/>
              </w:rPr>
            </w:pPr>
            <w:r w:rsidDel="00000000" w:rsidR="00000000" w:rsidRPr="00000000">
              <w:rPr>
                <w:sz w:val="28"/>
                <w:szCs w:val="28"/>
                <w:rtl w:val="0"/>
              </w:rPr>
              <w:t xml:space="preserve">2. Технічна розвідка.</w:t>
            </w:r>
          </w:p>
          <w:p w:rsidR="00000000" w:rsidDel="00000000" w:rsidP="00000000" w:rsidRDefault="00000000" w:rsidRPr="00000000" w14:paraId="0000002F">
            <w:pPr>
              <w:tabs>
                <w:tab w:val="left" w:leader="none" w:pos="900"/>
              </w:tabs>
              <w:spacing w:after="0" w:line="240" w:lineRule="auto"/>
              <w:ind w:firstLine="318"/>
              <w:jc w:val="both"/>
              <w:rPr>
                <w:sz w:val="28"/>
                <w:szCs w:val="28"/>
              </w:rPr>
            </w:pPr>
            <w:r w:rsidDel="00000000" w:rsidR="00000000" w:rsidRPr="00000000">
              <w:rPr>
                <w:sz w:val="28"/>
                <w:szCs w:val="28"/>
                <w:rtl w:val="0"/>
              </w:rPr>
              <w:t xml:space="preserve">3. Технічні канали витоку інформації</w:t>
            </w:r>
          </w:p>
          <w:p w:rsidR="00000000" w:rsidDel="00000000" w:rsidP="00000000" w:rsidRDefault="00000000" w:rsidRPr="00000000" w14:paraId="00000030">
            <w:pPr>
              <w:tabs>
                <w:tab w:val="left" w:leader="none" w:pos="900"/>
              </w:tabs>
              <w:spacing w:after="0" w:line="240" w:lineRule="auto"/>
              <w:ind w:firstLine="318"/>
              <w:jc w:val="both"/>
              <w:rPr>
                <w:sz w:val="28"/>
                <w:szCs w:val="28"/>
              </w:rPr>
            </w:pPr>
            <w:r w:rsidDel="00000000" w:rsidR="00000000" w:rsidRPr="00000000">
              <w:rPr>
                <w:sz w:val="28"/>
                <w:szCs w:val="28"/>
                <w:rtl w:val="0"/>
              </w:rPr>
              <w:t xml:space="preserve">4. Характеристика технічних каналів витоку інформації</w:t>
            </w:r>
          </w:p>
          <w:p w:rsidR="00000000" w:rsidDel="00000000" w:rsidP="00000000" w:rsidRDefault="00000000" w:rsidRPr="00000000" w14:paraId="00000031">
            <w:pPr>
              <w:tabs>
                <w:tab w:val="left" w:leader="none" w:pos="900"/>
              </w:tabs>
              <w:spacing w:after="0" w:line="240" w:lineRule="auto"/>
              <w:ind w:firstLine="318"/>
              <w:jc w:val="both"/>
              <w:rPr>
                <w:sz w:val="28"/>
                <w:szCs w:val="28"/>
              </w:rPr>
            </w:pPr>
            <w:r w:rsidDel="00000000" w:rsidR="00000000" w:rsidRPr="00000000">
              <w:rPr>
                <w:sz w:val="28"/>
                <w:szCs w:val="28"/>
                <w:rtl w:val="0"/>
              </w:rPr>
              <w:t xml:space="preserve">5.  Методи та засоби технічного захисту інформації</w:t>
            </w:r>
          </w:p>
          <w:p w:rsidR="00000000" w:rsidDel="00000000" w:rsidP="00000000" w:rsidRDefault="00000000" w:rsidRPr="00000000" w14:paraId="00000032">
            <w:pPr>
              <w:tabs>
                <w:tab w:val="left" w:leader="none" w:pos="900"/>
              </w:tabs>
              <w:spacing w:after="0" w:line="240" w:lineRule="auto"/>
              <w:ind w:firstLine="318"/>
              <w:jc w:val="both"/>
              <w:rPr>
                <w:sz w:val="28"/>
                <w:szCs w:val="28"/>
              </w:rPr>
            </w:pPr>
            <w:r w:rsidDel="00000000" w:rsidR="00000000" w:rsidRPr="00000000">
              <w:rPr>
                <w:sz w:val="28"/>
                <w:szCs w:val="28"/>
                <w:rtl w:val="0"/>
              </w:rPr>
              <w:t xml:space="preserve">6.  Захист в каналах зв’язку </w:t>
            </w:r>
          </w:p>
          <w:p w:rsidR="00000000" w:rsidDel="00000000" w:rsidP="00000000" w:rsidRDefault="00000000" w:rsidRPr="00000000" w14:paraId="00000033">
            <w:pPr>
              <w:tabs>
                <w:tab w:val="left" w:leader="none" w:pos="900"/>
              </w:tabs>
              <w:spacing w:after="0" w:line="240" w:lineRule="auto"/>
              <w:ind w:firstLine="318"/>
              <w:jc w:val="both"/>
              <w:rPr>
                <w:sz w:val="28"/>
                <w:szCs w:val="28"/>
              </w:rPr>
            </w:pPr>
            <w:r w:rsidDel="00000000" w:rsidR="00000000" w:rsidRPr="00000000">
              <w:rPr>
                <w:sz w:val="28"/>
                <w:szCs w:val="28"/>
                <w:rtl w:val="0"/>
              </w:rPr>
              <w:t xml:space="preserve">7. Методи і засоби інженерного захисту і технічної охорони об’єктів </w:t>
            </w:r>
          </w:p>
          <w:p w:rsidR="00000000" w:rsidDel="00000000" w:rsidP="00000000" w:rsidRDefault="00000000" w:rsidRPr="00000000" w14:paraId="00000034">
            <w:pPr>
              <w:tabs>
                <w:tab w:val="left" w:leader="none" w:pos="900"/>
              </w:tabs>
              <w:spacing w:after="0" w:line="240" w:lineRule="auto"/>
              <w:ind w:firstLine="318"/>
              <w:jc w:val="both"/>
              <w:rPr>
                <w:sz w:val="28"/>
                <w:szCs w:val="28"/>
              </w:rPr>
            </w:pPr>
            <w:r w:rsidDel="00000000" w:rsidR="00000000" w:rsidRPr="00000000">
              <w:rPr>
                <w:sz w:val="28"/>
                <w:szCs w:val="28"/>
                <w:rtl w:val="0"/>
              </w:rPr>
              <w:t xml:space="preserve">8.  Контроль ефективності технічного захисту інформації   </w:t>
            </w:r>
          </w:p>
        </w:tc>
      </w:tr>
      <w:tr>
        <w:trPr>
          <w:cantSplit w:val="0"/>
          <w:trHeight w:val="1223" w:hRule="atLeast"/>
          <w:tblHeader w:val="0"/>
        </w:trPr>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Політика дисципліни </w:t>
            </w:r>
          </w:p>
        </w:tc>
        <w:tc>
          <w:tcPr/>
          <w:p w:rsidR="00000000" w:rsidDel="00000000" w:rsidP="00000000" w:rsidRDefault="00000000" w:rsidRPr="00000000" w14:paraId="00000036">
            <w:pPr>
              <w:spacing w:after="0" w:line="240" w:lineRule="auto"/>
              <w:jc w:val="both"/>
              <w:rPr>
                <w:sz w:val="28"/>
                <w:szCs w:val="28"/>
              </w:rPr>
            </w:pPr>
            <w:bookmarkStart w:colFirst="0" w:colLast="0" w:name="_heading=h.hvsea7j21l1j" w:id="0"/>
            <w:bookmarkEnd w:id="0"/>
            <w:r w:rsidDel="00000000" w:rsidR="00000000" w:rsidRPr="00000000">
              <w:rPr>
                <w:sz w:val="28"/>
                <w:szCs w:val="28"/>
                <w:rtl w:val="0"/>
              </w:rPr>
              <w:t xml:space="preserve">Політика навчальної дисципліни будується з урахуванням норм законодавства України щодо академічної доброчесності, Статуту, положень ЧДТУ та інших нормативних документів.</w:t>
            </w:r>
          </w:p>
        </w:tc>
      </w:tr>
    </w:tbl>
    <w:p w:rsidR="00000000" w:rsidDel="00000000" w:rsidP="00000000" w:rsidRDefault="00000000" w:rsidRPr="00000000" w14:paraId="00000037">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8">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ІНФОРМАЦІЯ ПРО ВИКЛАДАЧА</w:t>
      </w:r>
      <w:r w:rsidDel="00000000" w:rsidR="00000000" w:rsidRPr="00000000">
        <w:rPr>
          <w:rtl w:val="0"/>
        </w:rPr>
      </w:r>
    </w:p>
    <w:p w:rsidR="00000000" w:rsidDel="00000000" w:rsidP="00000000" w:rsidRDefault="00000000" w:rsidRPr="00000000" w14:paraId="0000003A">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tbl>
      <w:tblPr>
        <w:tblStyle w:val="Table3"/>
        <w:tblW w:w="9858.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6739"/>
        <w:tblGridChange w:id="0">
          <w:tblGrid>
            <w:gridCol w:w="3119"/>
            <w:gridCol w:w="6739"/>
          </w:tblGrid>
        </w:tblGridChange>
      </w:tblGrid>
      <w:tr>
        <w:trPr>
          <w:cantSplit w:val="0"/>
          <w:tblHeader w:val="0"/>
        </w:trPr>
        <w:tc>
          <w:tcPr>
            <w:shd w:fill="auto" w:val="clear"/>
          </w:tcPr>
          <w:p w:rsidR="00000000" w:rsidDel="00000000" w:rsidP="00000000" w:rsidRDefault="00000000" w:rsidRPr="00000000" w14:paraId="0000003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Прізвище, ім’я, по батькові</w:t>
            </w:r>
          </w:p>
        </w:tc>
        <w:tc>
          <w:tcPr>
            <w:shd w:fill="auto" w:val="clear"/>
            <w:vAlign w:val="center"/>
          </w:tcPr>
          <w:p w:rsidR="00000000" w:rsidDel="00000000" w:rsidP="00000000" w:rsidRDefault="00000000" w:rsidRPr="00000000" w14:paraId="0000003C">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Нечипоренко Ольга Володимирівна</w:t>
            </w:r>
          </w:p>
        </w:tc>
      </w:tr>
      <w:tr>
        <w:trPr>
          <w:cantSplit w:val="0"/>
          <w:tblHeader w:val="0"/>
        </w:trPr>
        <w:tc>
          <w:tcPr>
            <w:shd w:fill="auto" w:val="clear"/>
          </w:tcPr>
          <w:p w:rsidR="00000000" w:rsidDel="00000000" w:rsidP="00000000" w:rsidRDefault="00000000" w:rsidRPr="00000000" w14:paraId="0000003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Науковий ступінь</w:t>
            </w:r>
          </w:p>
        </w:tc>
        <w:tc>
          <w:tcPr>
            <w:shd w:fill="auto" w:val="clea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кандидат технічних наук</w:t>
            </w:r>
          </w:p>
        </w:tc>
      </w:tr>
      <w:tr>
        <w:trPr>
          <w:cantSplit w:val="0"/>
          <w:tblHeader w:val="0"/>
        </w:trPr>
        <w:tc>
          <w:tcPr>
            <w:shd w:fill="auto" w:val="clear"/>
          </w:tcPr>
          <w:p w:rsidR="00000000" w:rsidDel="00000000" w:rsidP="00000000" w:rsidRDefault="00000000" w:rsidRPr="00000000" w14:paraId="0000003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Вчене звання</w:t>
            </w:r>
          </w:p>
        </w:tc>
        <w:tc>
          <w:tcPr>
            <w:shd w:fill="auto" w:val="clear"/>
            <w:vAlign w:val="center"/>
          </w:tcPr>
          <w:p w:rsidR="00000000" w:rsidDel="00000000" w:rsidP="00000000" w:rsidRDefault="00000000" w:rsidRPr="00000000" w14:paraId="00000040">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доцент</w:t>
            </w:r>
          </w:p>
        </w:tc>
      </w:tr>
      <w:tr>
        <w:trPr>
          <w:cantSplit w:val="0"/>
          <w:tblHeader w:val="0"/>
        </w:trPr>
        <w:tc>
          <w:tcPr>
            <w:shd w:fill="auto" w:val="clear"/>
          </w:tcPr>
          <w:p w:rsidR="00000000" w:rsidDel="00000000" w:rsidP="00000000" w:rsidRDefault="00000000" w:rsidRPr="00000000" w14:paraId="0000004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Посада</w:t>
            </w:r>
          </w:p>
        </w:tc>
        <w:tc>
          <w:tcPr>
            <w:shd w:fill="auto" w:val="clear"/>
            <w:vAlign w:val="center"/>
          </w:tcPr>
          <w:p w:rsidR="00000000" w:rsidDel="00000000" w:rsidP="00000000" w:rsidRDefault="00000000" w:rsidRPr="00000000" w14:paraId="00000042">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доцент кафедри ІБКІ</w:t>
            </w:r>
          </w:p>
        </w:tc>
      </w:tr>
      <w:tr>
        <w:trPr>
          <w:cantSplit w:val="0"/>
          <w:tblHeader w:val="0"/>
        </w:trPr>
        <w:tc>
          <w:tcPr>
            <w:shd w:fill="auto" w:val="clear"/>
          </w:tcPr>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Місце роботи</w:t>
            </w:r>
          </w:p>
        </w:tc>
        <w:tc>
          <w:tcPr>
            <w:shd w:fill="auto" w:val="clear"/>
            <w:vAlign w:val="center"/>
          </w:tcPr>
          <w:p w:rsidR="00000000" w:rsidDel="00000000" w:rsidP="00000000" w:rsidRDefault="00000000" w:rsidRPr="00000000" w14:paraId="00000044">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Черкаський державний технологічний університет</w:t>
            </w:r>
          </w:p>
        </w:tc>
      </w:tr>
      <w:tr>
        <w:trPr>
          <w:cantSplit w:val="0"/>
          <w:tblHeader w:val="0"/>
        </w:trPr>
        <w:tc>
          <w:tcPr>
            <w:shd w:fill="auto" w:val="clear"/>
          </w:tcPr>
          <w:p w:rsidR="00000000" w:rsidDel="00000000" w:rsidP="00000000" w:rsidRDefault="00000000" w:rsidRPr="00000000" w14:paraId="0000004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Адреса кафедри </w:t>
            </w:r>
          </w:p>
        </w:tc>
        <w:tc>
          <w:tcPr>
            <w:shd w:fill="auto" w:val="clear"/>
            <w:vAlign w:val="center"/>
          </w:tcPr>
          <w:p w:rsidR="00000000" w:rsidDel="00000000" w:rsidP="00000000" w:rsidRDefault="00000000" w:rsidRPr="00000000" w14:paraId="00000046">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18006 м. Черкаси, бульвар Шевченка, 460, а. 604-1</w:t>
            </w:r>
          </w:p>
        </w:tc>
      </w:tr>
      <w:tr>
        <w:trPr>
          <w:cantSplit w:val="0"/>
          <w:tblHeader w:val="0"/>
        </w:trPr>
        <w:tc>
          <w:tcPr>
            <w:shd w:fill="auto" w:val="clear"/>
          </w:tcPr>
          <w:p w:rsidR="00000000" w:rsidDel="00000000" w:rsidP="00000000" w:rsidRDefault="00000000" w:rsidRPr="00000000" w14:paraId="0000004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Контактний телефон</w:t>
            </w:r>
          </w:p>
        </w:tc>
        <w:tc>
          <w:tcPr>
            <w:shd w:fill="auto" w:val="clear"/>
            <w:vAlign w:val="center"/>
          </w:tcPr>
          <w:p w:rsidR="00000000" w:rsidDel="00000000" w:rsidP="00000000" w:rsidRDefault="00000000" w:rsidRPr="00000000" w14:paraId="00000048">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w:t>
            </w:r>
          </w:p>
        </w:tc>
      </w:tr>
      <w:tr>
        <w:trPr>
          <w:cantSplit w:val="0"/>
          <w:tblHeader w:val="0"/>
        </w:trPr>
        <w:tc>
          <w:tcPr>
            <w:shd w:fill="auto" w:val="clear"/>
          </w:tcPr>
          <w:p w:rsidR="00000000" w:rsidDel="00000000" w:rsidP="00000000" w:rsidRDefault="00000000" w:rsidRPr="00000000" w14:paraId="0000004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викладача</w:t>
            </w:r>
          </w:p>
        </w:tc>
        <w:tc>
          <w:tcPr>
            <w:shd w:fill="auto" w:val="clear"/>
            <w:vAlign w:val="center"/>
          </w:tcPr>
          <w:p w:rsidR="00000000" w:rsidDel="00000000" w:rsidP="00000000" w:rsidRDefault="00000000" w:rsidRPr="00000000" w14:paraId="000000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https://ibki.chdtu.edu.ua/staff/nechyporenko-olga-volodymyrivna/</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e-mail:</w:t>
            </w:r>
          </w:p>
        </w:tc>
        <w:tc>
          <w:tcPr>
            <w:shd w:fill="auto" w:val="clear"/>
            <w:vAlign w:val="center"/>
          </w:tcPr>
          <w:p w:rsidR="00000000" w:rsidDel="00000000" w:rsidP="00000000" w:rsidRDefault="00000000" w:rsidRPr="00000000" w14:paraId="0000004C">
            <w:pPr>
              <w:spacing w:after="0" w:line="240" w:lineRule="auto"/>
              <w:rPr>
                <w:rFonts w:ascii="Times New Roman" w:cs="Times New Roman" w:eastAsia="Times New Roman" w:hAnsi="Times New Roman"/>
                <w:i w:val="1"/>
                <w:iCs w:val="1"/>
                <w:sz w:val="28"/>
                <w:szCs w:val="28"/>
              </w:rPr>
            </w:pPr>
            <w:hyperlink r:id="rId7">
              <w:r w:rsidDel="00000000" w:rsidR="00000000" w:rsidRPr="00000000">
                <w:rPr>
                  <w:rFonts w:ascii="Times New Roman" w:cs="Times New Roman" w:eastAsia="Times New Roman" w:hAnsi="Times New Roman"/>
                  <w:i w:val="1"/>
                  <w:iCs w:val="1"/>
                  <w:color w:val="000000"/>
                  <w:sz w:val="28"/>
                  <w:szCs w:val="28"/>
                  <w:u w:val="none"/>
                  <w:rtl w:val="0"/>
                </w:rPr>
                <w:t xml:space="preserve">o.nechyporenko@chdtu.edu.ua</w:t>
              </w:r>
            </w:hyperlink>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Профайл дисципліни</w:t>
            </w:r>
          </w:p>
        </w:tc>
        <w:tc>
          <w:tcPr>
            <w:shd w:fill="auto" w:val="clear"/>
            <w:vAlign w:val="center"/>
          </w:tcPr>
          <w:p w:rsidR="00000000" w:rsidDel="00000000" w:rsidP="00000000" w:rsidRDefault="00000000" w:rsidRPr="00000000" w14:paraId="0000004E">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https://moodle.chdtu.edu.ua/course/view.php?id=2312</w:t>
            </w:r>
          </w:p>
        </w:tc>
      </w:tr>
      <w:tr>
        <w:trPr>
          <w:cantSplit w:val="0"/>
          <w:tblHeader w:val="0"/>
        </w:trPr>
        <w:tc>
          <w:tcPr>
            <w:shd w:fill="auto" w:val="clear"/>
          </w:tcPr>
          <w:p w:rsidR="00000000" w:rsidDel="00000000" w:rsidP="00000000" w:rsidRDefault="00000000" w:rsidRPr="00000000" w14:paraId="0000004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Розклад консультацій</w:t>
            </w:r>
          </w:p>
        </w:tc>
        <w:tc>
          <w:tcPr>
            <w:shd w:fill="auto" w:val="clear"/>
            <w:vAlign w:val="center"/>
          </w:tcPr>
          <w:p w:rsidR="00000000" w:rsidDel="00000000" w:rsidP="00000000" w:rsidRDefault="00000000" w:rsidRPr="00000000" w14:paraId="00000050">
            <w:pPr>
              <w:spacing w:after="0" w:lin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https://ibki.chdtu.edu.ua/debts/</w:t>
            </w:r>
          </w:p>
        </w:tc>
      </w:tr>
    </w:tbl>
    <w:p w:rsidR="00000000" w:rsidDel="00000000" w:rsidP="00000000" w:rsidRDefault="00000000" w:rsidRPr="00000000" w14:paraId="00000051">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sectPr>
      <w:pgSz w:h="16838" w:w="11906" w:orient="portrait"/>
      <w:pgMar w:bottom="851" w:top="851" w:left="1418"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New Roman CY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spacing w:after="0" w:line="240" w:lineRule="auto"/>
    </w:pPr>
    <w:rPr>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ED5C35"/>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a4">
    <w:name w:val="Hyperlink"/>
    <w:basedOn w:val="a0"/>
    <w:uiPriority w:val="99"/>
    <w:unhideWhenUsed w:val="1"/>
    <w:rsid w:val="00F05D9E"/>
    <w:rPr>
      <w:color w:val="0000ff"/>
      <w:u w:val="single"/>
    </w:rPr>
  </w:style>
  <w:style w:type="paragraph" w:styleId="a5">
    <w:name w:val="List Paragraph"/>
    <w:basedOn w:val="a"/>
    <w:uiPriority w:val="1"/>
    <w:qFormat w:val="1"/>
    <w:rsid w:val="00091434"/>
    <w:pPr>
      <w:spacing w:after="0" w:line="240" w:lineRule="auto"/>
      <w:ind w:left="720"/>
      <w:contextualSpacing w:val="1"/>
    </w:pPr>
    <w:rPr>
      <w:rFonts w:ascii="Times New Roman" w:eastAsia="Times New Roman" w:hAnsi="Times New Roman"/>
      <w:sz w:val="20"/>
      <w:szCs w:val="20"/>
      <w:lang w:eastAsia="ru-RU"/>
    </w:rPr>
  </w:style>
  <w:style w:type="paragraph" w:styleId="Default" w:customStyle="1">
    <w:name w:val="Default"/>
    <w:rsid w:val="00EA5D4E"/>
    <w:pPr>
      <w:autoSpaceDE w:val="0"/>
      <w:autoSpaceDN w:val="0"/>
      <w:adjustRightInd w:val="0"/>
    </w:pPr>
    <w:rPr>
      <w:rFonts w:ascii="Times New Roman" w:hAnsi="Times New Roman"/>
      <w:color w:val="000000"/>
      <w:sz w:val="24"/>
      <w:szCs w:val="24"/>
      <w:lang w:eastAsia="en-US" w:val="uk-UA"/>
    </w:rPr>
  </w:style>
  <w:style w:type="table" w:styleId="1" w:customStyle="1">
    <w:name w:val="Сетка таблицы1"/>
    <w:basedOn w:val="a1"/>
    <w:next w:val="a3"/>
    <w:rsid w:val="0070144E"/>
    <w:rPr>
      <w:rFonts w:ascii="Times New Roman" w:eastAsia="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6">
    <w:name w:val="FollowedHyperlink"/>
    <w:basedOn w:val="a0"/>
    <w:uiPriority w:val="99"/>
    <w:semiHidden w:val="1"/>
    <w:unhideWhenUsed w:val="1"/>
    <w:rsid w:val="0037193E"/>
    <w:rPr>
      <w:color w:val="800080" w:themeColor="followedHyperlink"/>
      <w:u w:val="single"/>
    </w:rPr>
  </w:style>
  <w:style w:type="paragraph" w:styleId="2">
    <w:name w:val="Body Text 2"/>
    <w:basedOn w:val="a"/>
    <w:link w:val="20"/>
    <w:rsid w:val="00F72FA8"/>
    <w:pPr>
      <w:spacing w:after="120" w:line="480" w:lineRule="auto"/>
    </w:pPr>
    <w:rPr>
      <w:rFonts w:ascii="Times New Roman" w:eastAsia="Times New Roman" w:hAnsi="Times New Roman"/>
      <w:sz w:val="24"/>
      <w:szCs w:val="24"/>
      <w:lang w:eastAsia="ru-RU"/>
    </w:rPr>
  </w:style>
  <w:style w:type="character" w:styleId="20" w:customStyle="1">
    <w:name w:val="Основной текст 2 Знак"/>
    <w:basedOn w:val="a0"/>
    <w:link w:val="2"/>
    <w:rsid w:val="00F72FA8"/>
    <w:rPr>
      <w:rFonts w:ascii="Times New Roman" w:eastAsia="Times New Roman" w:hAnsi="Times New Roman"/>
      <w:sz w:val="24"/>
      <w:szCs w:val="24"/>
    </w:rPr>
  </w:style>
  <w:style w:type="paragraph" w:styleId="21">
    <w:name w:val="Body Text Indent 2"/>
    <w:basedOn w:val="a"/>
    <w:link w:val="22"/>
    <w:uiPriority w:val="99"/>
    <w:semiHidden w:val="1"/>
    <w:unhideWhenUsed w:val="1"/>
    <w:rsid w:val="00D31301"/>
    <w:pPr>
      <w:spacing w:after="120" w:line="480" w:lineRule="auto"/>
      <w:ind w:left="283"/>
    </w:pPr>
  </w:style>
  <w:style w:type="character" w:styleId="22" w:customStyle="1">
    <w:name w:val="Основной текст с отступом 2 Знак"/>
    <w:basedOn w:val="a0"/>
    <w:link w:val="21"/>
    <w:uiPriority w:val="99"/>
    <w:semiHidden w:val="1"/>
    <w:rsid w:val="00D31301"/>
    <w:rPr>
      <w:sz w:val="22"/>
      <w:szCs w:val="22"/>
      <w:lang w:eastAsia="en-US"/>
    </w:rPr>
  </w:style>
  <w:style w:type="character" w:styleId="40" w:customStyle="1">
    <w:name w:val="Заголовок 4 Знак"/>
    <w:basedOn w:val="a0"/>
    <w:link w:val="4"/>
    <w:uiPriority w:val="9"/>
    <w:rsid w:val="00D31301"/>
    <w:rPr>
      <w:rFonts w:eastAsia="Times New Roman"/>
      <w:b w:val="1"/>
      <w:bCs w:val="1"/>
      <w:sz w:val="28"/>
      <w:szCs w:val="28"/>
      <w:lang w:eastAsia="x-none"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o.nechyporenko@chdt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ZZP+ND0kzutOYyspG/pxhHqRw==">CgMxLjAyDmguaHZzZWE3ajIxbDFqOAByITFXR1R3NUE0aVZtakhSS1d0RHJkcC1Na2llMFNJelJTMw==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2025-03-15T21:56:00Z</dcterms:created>
  <dc:creator>Пользователь Windows</dc:creator>
</cp:coreProperties>
</file>