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A5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Черкаський державний технологічний університет</w:t>
      </w:r>
    </w:p>
    <w:p w:rsidR="00D07A5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інформаційних технологій і систем</w:t>
      </w:r>
    </w:p>
    <w:p w:rsidR="00D07A5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інформаційної безпеки та комп’ютерної інженерії</w:t>
      </w:r>
    </w:p>
    <w:p w:rsidR="00D07A5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СИЛАБУС</w:t>
      </w:r>
    </w:p>
    <w:p w:rsidR="00D07A5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D07A5A" w:rsidRPr="000A3D15" w:rsidRDefault="00F97A7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7A7D">
        <w:rPr>
          <w:rFonts w:ascii="Times New Roman" w:eastAsia="Times New Roman" w:hAnsi="Times New Roman" w:cs="Times New Roman"/>
          <w:sz w:val="28"/>
          <w:szCs w:val="28"/>
          <w:u w:val="single"/>
        </w:rPr>
        <w:t>AI-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ІНСТРУМЕНТИ ДЛЯ НАУКОВИХ ДОСЛІДЖЕНЬ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100"/>
      </w:tblGrid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100" w:type="dxa"/>
          </w:tcPr>
          <w:p w:rsidR="00D07A5A" w:rsidRDefault="00F9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</w:t>
            </w:r>
            <w:r w:rsidR="000A3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філософії</w:t>
            </w:r>
            <w:r w:rsidR="000A3D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дисципліни</w:t>
            </w:r>
          </w:p>
        </w:tc>
        <w:tc>
          <w:tcPr>
            <w:tcW w:w="6100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100" w:type="dxa"/>
          </w:tcPr>
          <w:p w:rsidR="00D07A5A" w:rsidRPr="000A3D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15">
              <w:rPr>
                <w:rFonts w:ascii="Times New Roman" w:eastAsia="Times New Roman" w:hAnsi="Times New Roman" w:cs="Times New Roman"/>
                <w:sz w:val="28"/>
                <w:szCs w:val="28"/>
              </w:rPr>
              <w:t>усіх спеціальностей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6100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15">
              <w:rPr>
                <w:rFonts w:ascii="Times New Roman" w:eastAsia="Times New Roman" w:hAnsi="Times New Roman" w:cs="Times New Roman"/>
                <w:sz w:val="28"/>
                <w:szCs w:val="28"/>
              </w:rPr>
              <w:t>усіх освітніх програм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Обсяг дисципліни </w:t>
            </w:r>
          </w:p>
        </w:tc>
        <w:tc>
          <w:tcPr>
            <w:tcW w:w="6100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кредити ECTS (120 годин)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аудиторних занять</w:t>
            </w:r>
          </w:p>
        </w:tc>
        <w:tc>
          <w:tcPr>
            <w:tcW w:w="6100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Лекції, </w:t>
            </w:r>
            <w:r w:rsid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заняття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Індивідуальні завдання </w:t>
            </w:r>
          </w:p>
        </w:tc>
        <w:tc>
          <w:tcPr>
            <w:tcW w:w="6100" w:type="dxa"/>
          </w:tcPr>
          <w:p w:rsidR="00D07A5A" w:rsidRDefault="00D07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семестрового контролю</w:t>
            </w:r>
          </w:p>
        </w:tc>
        <w:tc>
          <w:tcPr>
            <w:tcW w:w="6100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D07A5A">
        <w:trPr>
          <w:jc w:val="center"/>
        </w:trPr>
        <w:tc>
          <w:tcPr>
            <w:tcW w:w="3539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Мова викладання </w:t>
            </w:r>
          </w:p>
        </w:tc>
        <w:tc>
          <w:tcPr>
            <w:tcW w:w="6100" w:type="dxa"/>
          </w:tcPr>
          <w:p w:rsidR="00D07A5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</w:tbl>
    <w:p w:rsidR="00D07A5A" w:rsidRDefault="00D07A5A">
      <w:pPr>
        <w:ind w:left="-142"/>
      </w:pPr>
    </w:p>
    <w:tbl>
      <w:tblPr>
        <w:tblStyle w:val="a0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63"/>
      </w:tblGrid>
      <w:tr w:rsidR="00D07A5A">
        <w:tc>
          <w:tcPr>
            <w:tcW w:w="2977" w:type="dxa"/>
          </w:tcPr>
          <w:p w:rsidR="00D07A5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дисципліни</w:t>
            </w:r>
          </w:p>
        </w:tc>
        <w:tc>
          <w:tcPr>
            <w:tcW w:w="6663" w:type="dxa"/>
          </w:tcPr>
          <w:p w:rsidR="00D07A5A" w:rsidRDefault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учасні 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інструменти та технології, призначені для підтримки, автоматизації та підвищення ефективності наукових досліджень, зокрема засоби збору, аналізу та обробки даних, автоматизації процесів створення та публікації результатів, а також інструменти для проведення наукових експериментів і моделювання.</w:t>
            </w:r>
          </w:p>
        </w:tc>
      </w:tr>
      <w:tr w:rsidR="00D07A5A">
        <w:tc>
          <w:tcPr>
            <w:tcW w:w="2977" w:type="dxa"/>
          </w:tcPr>
          <w:p w:rsidR="00D07A5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викладання дисципліни</w:t>
            </w:r>
          </w:p>
        </w:tc>
        <w:tc>
          <w:tcPr>
            <w:tcW w:w="6663" w:type="dxa"/>
          </w:tcPr>
          <w:p w:rsidR="00D07A5A" w:rsidRDefault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Метою викладання дисципліни є ознайомлення з можливостями сучасних AI-інструментів, оволодіння методами їх застосування для ефективної організації, автоматизації та оптимізації процесів наукових досліджень, а також набуття навичок інтеграції штучного інтелекту в наукову діяльність.</w:t>
            </w:r>
          </w:p>
        </w:tc>
      </w:tr>
      <w:tr w:rsidR="00D07A5A">
        <w:tc>
          <w:tcPr>
            <w:tcW w:w="2977" w:type="dxa"/>
          </w:tcPr>
          <w:p w:rsidR="00D07A5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 навчання</w:t>
            </w:r>
          </w:p>
        </w:tc>
        <w:tc>
          <w:tcPr>
            <w:tcW w:w="6663" w:type="dxa"/>
          </w:tcPr>
          <w:p w:rsidR="00D07A5A" w:rsidRPr="005F20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59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Знати: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сучасні можливості та класифікацію 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-інструментів, що застосовуються у наукових дослідженнях; 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моделей штучного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нейромереж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науки; 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інструментів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збору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аналізу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візуалізації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даних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автоматизації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створення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текстів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презентацій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допомогою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AI; 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експериментів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моделювань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залученням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штучного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F20CF" w:rsidRPr="005F20CF" w:rsidRDefault="00000000" w:rsidP="005F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Вмі</w:t>
            </w:r>
            <w:r w:rsidR="005F20CF" w:rsidRPr="005F2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ти: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ефективного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пошуку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збору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структурування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наукової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штучний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аналізу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інтерпретації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досліджень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створювати, редагувати та оптимізувати наукові тексти, презентації та публікації із залученням 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-інструментів;</w:t>
            </w:r>
          </w:p>
          <w:p w:rsidR="005F20CF" w:rsidRPr="005F20CF" w:rsidRDefault="005F20CF" w:rsidP="005F20C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організовувати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експерименти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штучного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</w:p>
          <w:p w:rsidR="00D07A5A" w:rsidRPr="005F20CF" w:rsidRDefault="005F20CF" w:rsidP="005F20C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інтегрувати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сучасні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технології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діяльність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07A5A">
        <w:tc>
          <w:tcPr>
            <w:tcW w:w="2977" w:type="dxa"/>
          </w:tcPr>
          <w:p w:rsidR="00D07A5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Тематичний план дисципліни</w:t>
            </w:r>
          </w:p>
        </w:tc>
        <w:tc>
          <w:tcPr>
            <w:tcW w:w="6663" w:type="dxa"/>
          </w:tcPr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штучного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інтелекту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Платформи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сервіси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нейромережами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Автоматизоване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збирання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оброблення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Генеративні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тез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Штучний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інтелект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експериментів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сервісів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інструментів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літературою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посиланнями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9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інструментів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публікаційній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штучного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інтелекту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інтерпретації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Практичні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методики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нейромережами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20CF" w:rsidRPr="005F20CF" w:rsidRDefault="005F20CF" w:rsidP="005F2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5F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наукового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F2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симуляцій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7A5A">
        <w:tc>
          <w:tcPr>
            <w:tcW w:w="2977" w:type="dxa"/>
          </w:tcPr>
          <w:p w:rsidR="00D07A5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Політика дисципліни</w:t>
            </w:r>
          </w:p>
        </w:tc>
        <w:tc>
          <w:tcPr>
            <w:tcW w:w="6663" w:type="dxa"/>
          </w:tcPr>
          <w:p w:rsidR="00D07A5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Політика щодо відвідування.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Відвідування лекційних</w:t>
            </w:r>
            <w:r w:rsid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практичних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занять</w:t>
            </w:r>
            <w:r w:rsid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контрольних заходів є обов’язковими. Якщо здобувач вищої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пропустив заняття або отримав незадовільну оцінку, то він має відпрацювати пропущене або нескладене шляхом вивчення матеріалів з відповідної теми, виконання практичних завдань, які розглядалися під час заняття, виконання тематичного тесту для самоконтролю та написання конспекту з подальшим захистом під час індивідуальної консультації. Організація навчання здобувачів вищої освіти, які навчаються за індивідуальним графіком, здійснюється згідно «Положення про навчання за індивідуальним графіком у Черкаському державному технологічному університеті» (http://tiny.cc/88iiuz). Здобувач вищої освіти має підтримувати зворотній зв’язок із викладачем на всіх етапах вивчення дисципліни.</w:t>
            </w:r>
          </w:p>
          <w:p w:rsidR="00D07A5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Політика щодо дедлайнів та перескладання.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Здобувачі вищої освіти звітують про виконання </w:t>
            </w:r>
            <w:r w:rsidR="00B9548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завдань під час лабораторного заняття із відповідної теми. Роботи здобувачів вищої освіти (</w:t>
            </w:r>
            <w:r w:rsidR="005F20C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самостійні, індивідуальні тощо), які здаються із порушенням термінів без поважних причин, оцінюються на нижчу оцінку (75% від можливої максимальної кількості балів за певний вид діяльності). </w:t>
            </w:r>
          </w:p>
          <w:p w:rsidR="00D07A5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терміни, передбачені робочою програмою дисципліни. Здобувачу вищої освіти надається 2 спроби для проходження тесту. У разі одержання незадовільної оцінки за поточну модульну контрольну роботу (менш 60 % правильних відповідей), перескладання відбувається у формі усної співбесіди з теоретичних питань модулю.</w:t>
            </w:r>
          </w:p>
          <w:p w:rsidR="00D07A5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Політика щодо академічної доброчесності.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Здобувачі вищої освіти мають свідомо дотримуватися «Кодексу академічної доброчесності Черкаського державного технологічного університету» (http://tiny.cc/b8iiuz), використовувати у навчальній та дослідницькій діяльності лише перевірені чи достовірні джерела інформації,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посилатися на них. </w:t>
            </w:r>
          </w:p>
          <w:p w:rsidR="00D07A5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проведення контрольних заходів не допускається залучення здобувачами вищої освіти зовнішніх джерел інформації, крім дозволених для використання.</w:t>
            </w:r>
          </w:p>
          <w:p w:rsidR="00D07A5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Політика зарахування результатів неформальної освіти.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Визнання результатів навчання, отриманих в умовах неформальної/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 здійснюється згідно «Положення про порядок визнання у Черкаському державному технологічному університеті результатів навчання, отриманих в умовах неформальної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освіти» (http://tiny.cc/d8iiuz).</w:t>
            </w:r>
          </w:p>
        </w:tc>
      </w:tr>
    </w:tbl>
    <w:p w:rsidR="00D07A5A" w:rsidRDefault="00D07A5A"/>
    <w:tbl>
      <w:tblPr>
        <w:tblStyle w:val="a1"/>
        <w:tblW w:w="97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6164"/>
      </w:tblGrid>
      <w:tr w:rsidR="00D07A5A">
        <w:trPr>
          <w:trHeight w:val="257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64" w:type="dxa"/>
          </w:tcPr>
          <w:p w:rsidR="00D07A5A" w:rsidRDefault="00642AC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Розломій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Інна Олександрівна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Наукове звання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роботи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Черкаський державний технологічний університет, кафедра інформаційної безпеки на комп’ютерної інженерії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кафедри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642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Шевченка, 460, к.604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(09</w:t>
            </w:r>
            <w:r w:rsidR="00642A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642AC8">
              <w:rPr>
                <w:rFonts w:ascii="Times New Roman" w:eastAsia="Times New Roman" w:hAnsi="Times New Roman" w:cs="Times New Roman"/>
                <w:sz w:val="28"/>
                <w:szCs w:val="28"/>
              </w:rPr>
              <w:t>9983648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викладача</w:t>
            </w:r>
          </w:p>
        </w:tc>
        <w:tc>
          <w:tcPr>
            <w:tcW w:w="6164" w:type="dxa"/>
          </w:tcPr>
          <w:p w:rsidR="00D07A5A" w:rsidRPr="000A3D15" w:rsidRDefault="000A3D15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D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https://ibki.chdtu.edu.ua/staff/rozlomij-inna-oleksandrivna/</w:t>
            </w: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64" w:type="dxa"/>
          </w:tcPr>
          <w:p w:rsidR="00D07A5A" w:rsidRPr="00642AC8" w:rsidRDefault="00642AC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spellStart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rozlomii</w:t>
            </w:r>
            <w:proofErr w:type="spellEnd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@</w:t>
            </w:r>
            <w:proofErr w:type="spellStart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chdtu</w:t>
            </w:r>
            <w:proofErr w:type="spellEnd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spellStart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edu</w:t>
            </w:r>
            <w:proofErr w:type="spellEnd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spellStart"/>
            <w:r w:rsidRPr="00642A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дисципліни</w:t>
            </w:r>
          </w:p>
        </w:tc>
        <w:tc>
          <w:tcPr>
            <w:tcW w:w="6164" w:type="dxa"/>
          </w:tcPr>
          <w:p w:rsidR="00D07A5A" w:rsidRDefault="00D07A5A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7A5A">
        <w:trPr>
          <w:trHeight w:val="224"/>
        </w:trPr>
        <w:tc>
          <w:tcPr>
            <w:tcW w:w="3547" w:type="dxa"/>
          </w:tcPr>
          <w:p w:rsidR="00D07A5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Розклад консультацій </w:t>
            </w:r>
          </w:p>
        </w:tc>
        <w:tc>
          <w:tcPr>
            <w:tcW w:w="6164" w:type="dxa"/>
          </w:tcPr>
          <w:p w:rsidR="00D07A5A" w:rsidRDefault="00000000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https://ibki.chdtu.edu.ua/debts/</w:t>
            </w:r>
          </w:p>
        </w:tc>
      </w:tr>
    </w:tbl>
    <w:p w:rsidR="00D07A5A" w:rsidRDefault="00D07A5A"/>
    <w:sectPr w:rsidR="00D07A5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B4BC0"/>
    <w:multiLevelType w:val="hybridMultilevel"/>
    <w:tmpl w:val="8F203BDC"/>
    <w:lvl w:ilvl="0" w:tplc="E79A7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C5A2C"/>
    <w:multiLevelType w:val="multilevel"/>
    <w:tmpl w:val="00DC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9D6C66"/>
    <w:multiLevelType w:val="hybridMultilevel"/>
    <w:tmpl w:val="91004092"/>
    <w:lvl w:ilvl="0" w:tplc="E79A7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85669">
    <w:abstractNumId w:val="1"/>
  </w:num>
  <w:num w:numId="2" w16cid:durableId="1465388839">
    <w:abstractNumId w:val="2"/>
  </w:num>
  <w:num w:numId="3" w16cid:durableId="89378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5A"/>
    <w:rsid w:val="000A3D15"/>
    <w:rsid w:val="005F20CF"/>
    <w:rsid w:val="00642AC8"/>
    <w:rsid w:val="00826FE7"/>
    <w:rsid w:val="00B95482"/>
    <w:rsid w:val="00D07A5A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317E1"/>
  <w15:docId w15:val="{EFC41F3F-6F32-264F-B23F-11488824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1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0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0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09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D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0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0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0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+e/8R8TKTGS3Jbz2VenjpSzoQ==">CgMxLjA4AHIhMVNuaEdHakt0ZXlQRkJpeW1wQ1hHUW9VRnI5eFRzSTF1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Миронюк Тетяна Василівна</dc:creator>
  <cp:lastModifiedBy>Microsoft Office User</cp:lastModifiedBy>
  <cp:revision>6</cp:revision>
  <dcterms:created xsi:type="dcterms:W3CDTF">2025-03-03T09:58:00Z</dcterms:created>
  <dcterms:modified xsi:type="dcterms:W3CDTF">2025-03-12T15:25:00Z</dcterms:modified>
</cp:coreProperties>
</file>